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4F6DA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C9EC2F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2DD576" wp14:editId="576305A7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1AA594B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F306AB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F7B9BFE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241C361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6954E461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78CA4204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0253790F" w14:textId="38830884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807674">
        <w:rPr>
          <w:rFonts w:ascii="Calibri" w:hAnsi="Calibri"/>
          <w:i/>
          <w:color w:val="000000" w:themeColor="text1"/>
        </w:rPr>
        <w:t xml:space="preserve">Manager- </w:t>
      </w:r>
      <w:r w:rsidR="007453A7">
        <w:t>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7453A7">
        <w:t>Mechanical Maintenance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5757F39D" w14:textId="29FE2DFB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807674">
        <w:rPr>
          <w:i/>
          <w:color w:val="000000" w:themeColor="text1"/>
        </w:rPr>
        <w:t xml:space="preserve"> </w:t>
      </w:r>
      <w:proofErr w:type="spellStart"/>
      <w:r w:rsidR="00807674">
        <w:rPr>
          <w:i/>
          <w:color w:val="000000" w:themeColor="text1"/>
        </w:rPr>
        <w:t>Dahej</w:t>
      </w:r>
      <w:proofErr w:type="spell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807674">
        <w:rPr>
          <w:rFonts w:ascii="Calibri" w:hAnsi="Calibri"/>
          <w:i/>
          <w:color w:val="000000" w:themeColor="text1"/>
        </w:rPr>
        <w:t xml:space="preserve"> Industrial Chemicals</w:t>
      </w:r>
    </w:p>
    <w:p w14:paraId="6429AC98" w14:textId="4B67E41E" w:rsidR="00B64154" w:rsidRPr="007453A7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807674">
        <w:rPr>
          <w:rFonts w:ascii="Calibri" w:hAnsi="Calibri"/>
          <w:i/>
          <w:color w:val="000000" w:themeColor="text1"/>
        </w:rPr>
        <w:t xml:space="preserve"> </w:t>
      </w:r>
      <w:r w:rsidR="007453A7" w:rsidRPr="007453A7">
        <w:rPr>
          <w:bCs/>
          <w:color w:val="000000" w:themeColor="text1"/>
        </w:rPr>
        <w:t>This role is primarily responsible for planning, control and execution of Mechanical Maintenance to increase Reliability (</w:t>
      </w:r>
      <w:proofErr w:type="gramStart"/>
      <w:r w:rsidR="007453A7" w:rsidRPr="007453A7">
        <w:rPr>
          <w:bCs/>
          <w:color w:val="000000" w:themeColor="text1"/>
        </w:rPr>
        <w:t>i.e.</w:t>
      </w:r>
      <w:proofErr w:type="gramEnd"/>
      <w:r w:rsidR="007453A7" w:rsidRPr="007453A7">
        <w:rPr>
          <w:bCs/>
          <w:color w:val="000000" w:themeColor="text1"/>
        </w:rPr>
        <w:t xml:space="preserve"> minimum downtime), Cost Effectiveness and efficiency to achieve the business targets of </w:t>
      </w:r>
      <w:proofErr w:type="spellStart"/>
      <w:r w:rsidR="007453A7" w:rsidRPr="007453A7">
        <w:rPr>
          <w:bCs/>
          <w:color w:val="000000" w:themeColor="text1"/>
        </w:rPr>
        <w:t>Dahej</w:t>
      </w:r>
      <w:proofErr w:type="spellEnd"/>
      <w:r w:rsidR="007453A7" w:rsidRPr="007453A7">
        <w:rPr>
          <w:bCs/>
          <w:color w:val="000000" w:themeColor="text1"/>
        </w:rPr>
        <w:t xml:space="preserve"> plants (WNA, CNA, Loading, Tank Farm terminal) with EHS compliance.</w:t>
      </w:r>
    </w:p>
    <w:p w14:paraId="2DCF3CE7" w14:textId="0F78A1DF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r w:rsidR="007453A7">
        <w:rPr>
          <w:b/>
          <w:color w:val="000000" w:themeColor="text1"/>
        </w:rPr>
        <w:t>Manager-Mechanical Maintenance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23DA6B6D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02604329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41FD3C2F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AFAAB13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6D81B3C5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7453A7" w:rsidRPr="009604B9" w14:paraId="2AB04D00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19ADEC48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Shutdown - To interact with Production Dept. for planning of shutdown jobs. To arrange for the resources required for the execution of shutdown jobs. To prepare schedule for the shutdown jobs and monitor &amp; control execution of shutdown jobs</w:t>
            </w:r>
          </w:p>
          <w:p w14:paraId="404E550F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Compliance - To review the effectiveness of Predictive </w:t>
            </w:r>
            <w:proofErr w:type="spell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 System, Preventive </w:t>
            </w:r>
            <w:proofErr w:type="spell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 System &amp; LLF and make necessary improvements in the schedule, checklists to improve the effectiveness in terms of identification of problems of rotary equipment’s in advance &amp; timely compliance to reduce the failures of rotary equipment. To interact with Production Dept for the planning of handing over of equipment </w:t>
            </w: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lastRenderedPageBreak/>
              <w:t xml:space="preserve">for Preventive </w:t>
            </w:r>
            <w:proofErr w:type="spell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Maint</w:t>
            </w:r>
            <w:proofErr w:type="spellEnd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 Job. To provide required resources (skilled manpower, spares, etc.)</w:t>
            </w:r>
          </w:p>
          <w:p w14:paraId="1821EC8F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Analysis - To carry out Root Cause Analysis / Failure Analysis (or to participate as a team member) using various techniques and plan &amp; control effective execution of action </w:t>
            </w:r>
            <w:proofErr w:type="gram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plans</w:t>
            </w:r>
            <w:proofErr w:type="gramEnd"/>
          </w:p>
          <w:p w14:paraId="687CFA45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 xml:space="preserve">Energy - To plan and control execution of Energy Saving Jobs or action plans for efficiency improvements </w:t>
            </w:r>
            <w:proofErr w:type="gram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jobs</w:t>
            </w:r>
            <w:proofErr w:type="gramEnd"/>
          </w:p>
          <w:p w14:paraId="1D9A1E7B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Budget - To support HOD for Preparation of Capex &amp; Revenue Budgets and NFAs for no-budgeted jobs by collecting relevant data. Preparation of reports periodically on the execution of planned Capex &amp; revenue jobs with respect to approved cost &amp; time schedule.</w:t>
            </w:r>
          </w:p>
          <w:p w14:paraId="3C90205D" w14:textId="77777777" w:rsidR="007453A7" w:rsidRPr="007453A7" w:rsidRDefault="007453A7" w:rsidP="007453A7">
            <w:pPr>
              <w:pStyle w:val="TableContents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MOC - To supervise, review and ensure timely execution of approved MOC Proposals as per schedule and budget. Support cross functions by preparing Cost Estimates, technical scope of work. Review &amp; Control overall activities pertaining to   procurement, implementation MOC jobs (with the help of Bar Chart).</w:t>
            </w:r>
          </w:p>
          <w:p w14:paraId="0D580CF1" w14:textId="003654CC" w:rsidR="007453A7" w:rsidRPr="007453A7" w:rsidRDefault="007453A7" w:rsidP="007453A7">
            <w:pPr>
              <w:pStyle w:val="ListParagraph"/>
              <w:ind w:left="36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Procurement - Support Purchase Department for Vendor Assessment. Review and follow up with Purchase Department for the procurement of material. Ensure submission of correct specifications / technical data sheets, Technical Discussion with Vendors. Supervise, Review to ensure timely Inspection &amp; Clearing GRs of the material received.</w:t>
            </w:r>
          </w:p>
        </w:tc>
        <w:tc>
          <w:tcPr>
            <w:tcW w:w="5273" w:type="dxa"/>
            <w:tcBorders>
              <w:top w:val="nil"/>
            </w:tcBorders>
          </w:tcPr>
          <w:p w14:paraId="3F5FD4C0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lastRenderedPageBreak/>
              <w:t>Completion of PM activities as per schedule with limited skilled workforce</w:t>
            </w:r>
          </w:p>
          <w:p w14:paraId="5A719DE5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Development of vendors for various services</w:t>
            </w:r>
          </w:p>
          <w:p w14:paraId="53C341BE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Development of jig &amp; fixtures for the completion of jobs with accuracy, quality &amp; less time</w:t>
            </w:r>
          </w:p>
          <w:p w14:paraId="04BDF0EA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Implementation of Capex &amp; MOC jobs within time &amp; budgeted cost.</w:t>
            </w:r>
          </w:p>
          <w:p w14:paraId="05D00126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SAP transactions in time</w:t>
            </w:r>
          </w:p>
          <w:p w14:paraId="17C8D4DE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Decide Mechanical Maintenance Plan – Daily</w:t>
            </w:r>
          </w:p>
          <w:p w14:paraId="0E9AF5C2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Allocation of resources</w:t>
            </w:r>
          </w:p>
          <w:p w14:paraId="69D2D44A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 xml:space="preserve">Revision of schedule of CM, PM, LLF to improve </w:t>
            </w:r>
            <w:proofErr w:type="gramStart"/>
            <w:r w:rsidRPr="007453A7">
              <w:rPr>
                <w:bCs/>
                <w:color w:val="000000" w:themeColor="text1"/>
              </w:rPr>
              <w:t>effectiveness</w:t>
            </w:r>
            <w:proofErr w:type="gramEnd"/>
            <w:r w:rsidRPr="007453A7">
              <w:rPr>
                <w:bCs/>
                <w:color w:val="000000" w:themeColor="text1"/>
              </w:rPr>
              <w:t xml:space="preserve"> </w:t>
            </w:r>
          </w:p>
          <w:p w14:paraId="5826F94B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Scope of work for AMC / ARC</w:t>
            </w:r>
          </w:p>
          <w:p w14:paraId="6A3686FD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Selection of the Vendors</w:t>
            </w:r>
          </w:p>
          <w:p w14:paraId="48E58275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>Identify Training Needs of subordinates (in EHS, Technical, SAP, ISO, Behavioural Aspects).</w:t>
            </w:r>
          </w:p>
          <w:p w14:paraId="27CAA795" w14:textId="77777777" w:rsidR="007453A7" w:rsidRPr="007453A7" w:rsidRDefault="007453A7" w:rsidP="007453A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bCs/>
                <w:color w:val="000000" w:themeColor="text1"/>
              </w:rPr>
            </w:pPr>
            <w:r w:rsidRPr="007453A7">
              <w:rPr>
                <w:bCs/>
                <w:color w:val="000000" w:themeColor="text1"/>
              </w:rPr>
              <w:t xml:space="preserve">Daily review of status of SAP notifications and </w:t>
            </w:r>
            <w:r w:rsidRPr="007453A7">
              <w:rPr>
                <w:bCs/>
                <w:color w:val="000000" w:themeColor="text1"/>
              </w:rPr>
              <w:lastRenderedPageBreak/>
              <w:t>follow up with area engineers for timely entry in SAP system.</w:t>
            </w:r>
          </w:p>
          <w:p w14:paraId="248BDA3E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Productivity - To initiate, plan, coordinate &amp; execute Productivity Improvement Jobs. To lead the project &amp; coordinate with Support cross functions by preparing Cost Estimates, technical scope of work. Review &amp; Control overall activities pertaining to   procurement, implementation of jobs (with the help of Bar Chart)</w:t>
            </w:r>
          </w:p>
          <w:p w14:paraId="05F532F3" w14:textId="77777777" w:rsidR="007453A7" w:rsidRPr="007453A7" w:rsidRDefault="007453A7" w:rsidP="007453A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7453A7" w:rsidRPr="002340C3" w14:paraId="4E0949C8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B3F05A5" w14:textId="77777777" w:rsidR="007453A7" w:rsidRPr="007453A7" w:rsidRDefault="007453A7" w:rsidP="007453A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7453A7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BC84B9A" w14:textId="77777777" w:rsidR="007453A7" w:rsidRPr="007453A7" w:rsidRDefault="007453A7" w:rsidP="007453A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7453A7"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7453A7" w:rsidRPr="002340C3" w14:paraId="6834F213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5AA75C80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BE /B. Tech (Mechanical) or Diploma in Mechanical</w:t>
            </w:r>
          </w:p>
          <w:p w14:paraId="55605ACB" w14:textId="77777777" w:rsidR="007453A7" w:rsidRPr="007453A7" w:rsidRDefault="007453A7" w:rsidP="007453A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6C87EF1E" w14:textId="77777777" w:rsidR="007453A7" w:rsidRPr="007453A7" w:rsidRDefault="007453A7" w:rsidP="007453A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768B5FF4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B.E./B. Tech – Mechanical Industrial experience of min. 5-8 years.</w:t>
            </w:r>
          </w:p>
          <w:p w14:paraId="5BECFEB6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Diploma in Mechanical industrial experience of min 8- 12 years.</w:t>
            </w:r>
          </w:p>
          <w:p w14:paraId="35ED35C7" w14:textId="77777777" w:rsidR="007453A7" w:rsidRPr="007453A7" w:rsidRDefault="007453A7" w:rsidP="007453A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7453A7" w:rsidRPr="00295637" w14:paraId="3EFA235A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5237BA7D" w14:textId="77777777" w:rsidR="007453A7" w:rsidRPr="00295637" w:rsidRDefault="007453A7" w:rsidP="007453A7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7453A7" w:rsidRPr="00295637" w14:paraId="5FAD5AC2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2B0C10F6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Technical knowledge of Mechanical Equipment (rotary &amp; static)</w:t>
            </w:r>
          </w:p>
          <w:p w14:paraId="08F36EB5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Knowledge of SAP / ERP system</w:t>
            </w:r>
          </w:p>
          <w:p w14:paraId="7DEAD836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lastRenderedPageBreak/>
              <w:t xml:space="preserve">Knowledge of cost &amp; energy saving </w:t>
            </w:r>
            <w:proofErr w:type="gramStart"/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schemes</w:t>
            </w:r>
            <w:proofErr w:type="gramEnd"/>
          </w:p>
          <w:p w14:paraId="3575943E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Knowledge of Best EHS practices</w:t>
            </w:r>
          </w:p>
          <w:p w14:paraId="7AC4D57A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ISO systems</w:t>
            </w:r>
          </w:p>
          <w:p w14:paraId="6C3EAA0B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Legal / Statutory requirements</w:t>
            </w:r>
          </w:p>
          <w:p w14:paraId="3B0E6A99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Bench marking on Mechanical Maintenance practices</w:t>
            </w:r>
          </w:p>
          <w:p w14:paraId="331C3A23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Cost Benefit Analysis</w:t>
            </w:r>
          </w:p>
          <w:p w14:paraId="5CEF204A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Failure Analysis</w:t>
            </w:r>
          </w:p>
          <w:p w14:paraId="5CB68CF9" w14:textId="77777777" w:rsidR="007453A7" w:rsidRPr="007453A7" w:rsidRDefault="007453A7" w:rsidP="007453A7">
            <w:pPr>
              <w:pStyle w:val="TableContents"/>
              <w:numPr>
                <w:ilvl w:val="0"/>
                <w:numId w:val="21"/>
              </w:numPr>
              <w:snapToGrid w:val="0"/>
              <w:jc w:val="both"/>
              <w:rPr>
                <w:b/>
                <w:bCs/>
                <w:iCs/>
                <w:color w:val="000000" w:themeColor="text1"/>
                <w:kern w:val="0"/>
                <w:lang w:val="en-GB" w:eastAsia="en-US"/>
              </w:rPr>
            </w:pPr>
            <w:r w:rsidRPr="007453A7">
              <w:rPr>
                <w:rFonts w:asciiTheme="minorHAnsi" w:hAnsiTheme="minorHAnsi"/>
                <w:bCs/>
                <w:color w:val="000000" w:themeColor="text1"/>
                <w:kern w:val="0"/>
                <w:sz w:val="22"/>
                <w:szCs w:val="22"/>
                <w:lang w:val="en-GB" w:eastAsia="en-US"/>
              </w:rPr>
              <w:t>Negotiation</w:t>
            </w:r>
          </w:p>
          <w:p w14:paraId="1D2B1AA6" w14:textId="77777777" w:rsidR="007453A7" w:rsidRPr="00A12EE7" w:rsidRDefault="007453A7" w:rsidP="007453A7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19AA1BD0" w14:textId="77777777" w:rsidR="007453A7" w:rsidRDefault="007453A7" w:rsidP="007453A7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DF9B54F" w14:textId="77777777" w:rsidR="007453A7" w:rsidRPr="00D21BCD" w:rsidRDefault="007453A7" w:rsidP="007453A7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187FB41F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B720D" w14:textId="77777777" w:rsidR="00C53A2F" w:rsidRDefault="00C53A2F" w:rsidP="002E705B">
      <w:pPr>
        <w:spacing w:after="0" w:line="240" w:lineRule="auto"/>
      </w:pPr>
      <w:r>
        <w:separator/>
      </w:r>
    </w:p>
  </w:endnote>
  <w:endnote w:type="continuationSeparator" w:id="0">
    <w:p w14:paraId="11F6F3A4" w14:textId="77777777" w:rsidR="00C53A2F" w:rsidRDefault="00C53A2F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8B7D4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3D14CBB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6DF07" w14:textId="77777777" w:rsidR="00C53A2F" w:rsidRDefault="00C53A2F" w:rsidP="002E705B">
      <w:pPr>
        <w:spacing w:after="0" w:line="240" w:lineRule="auto"/>
      </w:pPr>
      <w:r>
        <w:separator/>
      </w:r>
    </w:p>
  </w:footnote>
  <w:footnote w:type="continuationSeparator" w:id="0">
    <w:p w14:paraId="57B4AD0E" w14:textId="77777777" w:rsidR="00C53A2F" w:rsidRDefault="00C53A2F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279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34EC6257" wp14:editId="6B85637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CD"/>
    <w:multiLevelType w:val="hybridMultilevel"/>
    <w:tmpl w:val="2EBA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2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"/>
  </w:num>
  <w:num w:numId="16">
    <w:abstractNumId w:val="8"/>
  </w:num>
  <w:num w:numId="17">
    <w:abstractNumId w:val="12"/>
  </w:num>
  <w:num w:numId="18">
    <w:abstractNumId w:val="4"/>
  </w:num>
  <w:num w:numId="19">
    <w:abstractNumId w:val="17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7453A7"/>
    <w:rsid w:val="00807674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53A2F"/>
    <w:rsid w:val="00CA5960"/>
    <w:rsid w:val="00D21BCD"/>
    <w:rsid w:val="00E50551"/>
    <w:rsid w:val="00E539FC"/>
    <w:rsid w:val="00E6691A"/>
    <w:rsid w:val="00F03011"/>
    <w:rsid w:val="00F55883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25C5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customStyle="1" w:styleId="TableContents">
    <w:name w:val="Table Contents"/>
    <w:basedOn w:val="Normal"/>
    <w:rsid w:val="007453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Tanima Gop</cp:lastModifiedBy>
  <cp:revision>2</cp:revision>
  <cp:lastPrinted>2019-05-24T09:32:00Z</cp:lastPrinted>
  <dcterms:created xsi:type="dcterms:W3CDTF">2021-03-16T09:43:00Z</dcterms:created>
  <dcterms:modified xsi:type="dcterms:W3CDTF">2021-03-16T09:43:00Z</dcterms:modified>
</cp:coreProperties>
</file>